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595959"/>
          <w:sz w:val="24"/>
          <w:szCs w:val="24"/>
        </w:rPr>
        <w:t xml:space="preserve">D R E V O</w:t>
      </w:r>
    </w:p>
    <w:p>
      <w:pPr>
        <w:spacing w:after="60"/>
      </w:pPr>
      <w:r>
        <w:rPr>
          <w:rFonts w:ascii="Calibri" w:cs="Calibri" w:eastAsia="Calibri" w:hAnsi="Calibri"/>
          <w:b/>
          <w:bCs/>
          <w:color w:val="1F3864"/>
          <w:sz w:val="44"/>
          <w:szCs w:val="44"/>
        </w:rPr>
        <w:t xml:space="preserve">Data Processing Agreement</w:t>
      </w:r>
    </w:p>
    <w:p>
      <w:pPr>
        <w:pBdr>
          <w:bottom w:val="single" w:color="1F3864" w:sz="8" w:space="4"/>
        </w:pBdr>
        <w:spacing w:after="200"/>
      </w:pPr>
      <w:r>
        <w:rPr>
          <w:rFonts w:ascii="Calibri" w:cs="Calibri" w:eastAsia="Calibri" w:hAnsi="Calibri"/>
          <w:color w:val="595959"/>
          <w:sz w:val="20"/>
          <w:szCs w:val="20"/>
        </w:rPr>
        <w:t xml:space="preserve">Version 1.0 — DRAFT    |    Last updated: [DATE]    |    drevo.co.uk    |    hello@drevo.co.uk</w:t>
      </w:r>
    </w:p>
    <w:p>
      <w:pPr>
        <w:spacing w:after="140" w:line="276"/>
        <w:jc w:val="both"/>
      </w:pPr>
      <w:r>
        <w:rPr>
          <w:rFonts w:ascii="Calibri" w:cs="Calibri" w:eastAsia="Calibri" w:hAnsi="Calibri"/>
          <w:b w:val="false"/>
          <w:bCs w:val="false"/>
          <w:i/>
          <w:iCs/>
          <w:sz w:val="22"/>
          <w:szCs w:val="22"/>
        </w:rPr>
        <w:t xml:space="preserve">UK GDPR Article 28 processor terms — applies where Drevo processes delivery-recipient personal data on behalf of a business customer.</w:t>
      </w:r>
    </w:p>
    <w:tbl>
      <w:tblPr>
        <w:tblW w:type="dxa" w:w="9026"/>
        <w:tblBorders>
          <w:top w:val="single" w:color="8B0000" w:sz="12"/>
          <w:left w:val="single" w:color="8B0000" w:sz="12"/>
          <w:bottom w:val="single" w:color="8B0000" w:sz="12"/>
          <w:right w:val="single" w:color="8B0000" w:sz="12"/>
          <w:insideH w:val="none" w:color="FFFFFF" w:sz="0"/>
          <w:insideV w:val="none" w:color="FFFFFF" w:sz="0"/>
        </w:tblBorders>
      </w:tblPr>
      <w:tblGrid>
        <w:gridCol w:w="9026"/>
      </w:tblGrid>
      <w:tr>
        <w:tc>
          <w:tcPr>
            <w:tcW w:type="dxa" w:w="9026"/>
            <w:shd w:fill="FBEFEF" w:val="clear"/>
            <w:tcMar>
              <w:top w:type="dxa" w:w="160"/>
              <w:left w:type="dxa" w:w="220"/>
              <w:bottom w:type="dxa" w:w="160"/>
              <w:right w:type="dxa" w:w="220"/>
            </w:tcMar>
          </w:tcPr>
          <w:p>
            <w:pPr>
              <w:spacing w:after="80"/>
            </w:pPr>
            <w:r>
              <w:rPr>
                <w:rFonts w:ascii="Calibri" w:cs="Calibri" w:eastAsia="Calibri" w:hAnsi="Calibri"/>
                <w:b/>
                <w:bCs/>
                <w:color w:val="8B0000"/>
                <w:sz w:val="22"/>
                <w:szCs w:val="22"/>
              </w:rPr>
              <w:t xml:space="preserve">DRAFT — NOT FOR PUBLICATION</w:t>
            </w:r>
          </w:p>
          <w:p>
            <w:pPr>
              <w:spacing w:after="0"/>
              <w:jc w:val="both"/>
            </w:pPr>
            <w:r>
              <w:rPr>
                <w:rFonts w:ascii="Calibri" w:cs="Calibri" w:eastAsia="Calibri" w:hAnsi="Calibri"/>
                <w:sz w:val="22"/>
                <w:szCs w:val="22"/>
              </w:rPr>
              <w:t xml:space="preserve">DRAFT — prepared for review by a qualified solicitor of England &amp; Wales before publication. Bracketed [PLACEHOLDER] terms require completion.</w:t>
            </w:r>
          </w:p>
        </w:tc>
      </w:tr>
    </w:tbl>
    <w:p>
      <w:pPr>
        <w:spacing w:after="240"/>
      </w:pP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1.	</w:t>
      </w:r>
      <w:r>
        <w:rPr>
          <w:rFonts w:ascii="Calibri" w:cs="Calibri" w:eastAsia="Calibri" w:hAnsi="Calibri"/>
          <w:b/>
          <w:bCs/>
          <w:color w:val="1F3864"/>
          <w:sz w:val="26"/>
          <w:szCs w:val="26"/>
        </w:rPr>
        <w:t xml:space="preserve">Background and Parties</w:t>
      </w:r>
    </w:p>
    <w:p>
      <w:pPr>
        <w:tabs>
          <w:tab w:val="left" w:pos="850"/>
        </w:tabs>
        <w:spacing w:after="140" w:line="276"/>
        <w:ind w:left="850" w:hanging="850"/>
        <w:jc w:val="both"/>
      </w:pPr>
      <w:r>
        <w:rPr>
          <w:rFonts w:ascii="Calibri" w:cs="Calibri" w:eastAsia="Calibri" w:hAnsi="Calibri"/>
          <w:sz w:val="22"/>
          <w:szCs w:val="22"/>
        </w:rPr>
        <w:t xml:space="preserve">1.1</w:t>
        <w:tab/>
      </w:r>
      <w:r>
        <w:rPr>
          <w:rFonts w:ascii="Calibri" w:cs="Calibri" w:eastAsia="Calibri" w:hAnsi="Calibri"/>
          <w:sz w:val="22"/>
          <w:szCs w:val="22"/>
        </w:rPr>
        <w:t xml:space="preserve">This data processing agreement (the </w:t>
      </w:r>
      <w:r>
        <w:rPr>
          <w:rFonts w:ascii="Calibri" w:cs="Calibri" w:eastAsia="Calibri" w:hAnsi="Calibri"/>
          <w:b/>
          <w:bCs/>
          <w:i w:val="false"/>
          <w:iCs w:val="false"/>
          <w:sz w:val="22"/>
          <w:szCs w:val="22"/>
        </w:rPr>
        <w:t xml:space="preserve">DPA</w:t>
      </w:r>
      <w:r>
        <w:rPr>
          <w:rFonts w:ascii="Calibri" w:cs="Calibri" w:eastAsia="Calibri" w:hAnsi="Calibri"/>
          <w:sz w:val="22"/>
          <w:szCs w:val="22"/>
        </w:rPr>
        <w:t xml:space="preserve">) is made between the business customer identified on its Drevo account (the </w:t>
      </w:r>
      <w:r>
        <w:rPr>
          <w:rFonts w:ascii="Calibri" w:cs="Calibri" w:eastAsia="Calibri" w:hAnsi="Calibri"/>
          <w:b/>
          <w:bCs/>
          <w:i w:val="false"/>
          <w:iCs w:val="false"/>
          <w:sz w:val="22"/>
          <w:szCs w:val="22"/>
        </w:rPr>
        <w:t xml:space="preserve">Controller</w:t>
      </w:r>
      <w:r>
        <w:rPr>
          <w:rFonts w:ascii="Calibri" w:cs="Calibri" w:eastAsia="Calibri" w:hAnsi="Calibri"/>
          <w:sz w:val="22"/>
          <w:szCs w:val="22"/>
        </w:rPr>
        <w:t xml:space="preserve"> or </w:t>
      </w:r>
      <w:r>
        <w:rPr>
          <w:rFonts w:ascii="Calibri" w:cs="Calibri" w:eastAsia="Calibri" w:hAnsi="Calibri"/>
          <w:b/>
          <w:bCs/>
          <w:i w:val="false"/>
          <w:iCs w:val="false"/>
          <w:sz w:val="22"/>
          <w:szCs w:val="22"/>
        </w:rPr>
        <w:t xml:space="preserve">Business</w:t>
      </w:r>
      <w:r>
        <w:rPr>
          <w:rFonts w:ascii="Calibri" w:cs="Calibri" w:eastAsia="Calibri" w:hAnsi="Calibri"/>
          <w:sz w:val="22"/>
          <w:szCs w:val="22"/>
        </w:rPr>
        <w:t xml:space="preserve">) and Drevo Ltd, a company registered in Scotland under company number SC887578, whose registered office is at Office 606 18 Young Street, Unit Lge, Edinburgh, Scotland, EH2 4JB, trading as "Drevo" (the </w:t>
      </w:r>
      <w:r>
        <w:rPr>
          <w:rFonts w:ascii="Calibri" w:cs="Calibri" w:eastAsia="Calibri" w:hAnsi="Calibri"/>
          <w:b/>
          <w:bCs/>
          <w:i w:val="false"/>
          <w:iCs w:val="false"/>
          <w:sz w:val="22"/>
          <w:szCs w:val="22"/>
        </w:rPr>
        <w:t xml:space="preserve">Processor</w:t>
      </w:r>
      <w:r>
        <w:rPr>
          <w:rFonts w:ascii="Calibri" w:cs="Calibri" w:eastAsia="Calibri" w:hAnsi="Calibri"/>
          <w:sz w:val="22"/>
          <w:szCs w:val="22"/>
        </w:rPr>
        <w:t xml:space="preserve"> or </w:t>
      </w:r>
      <w:r>
        <w:rPr>
          <w:rFonts w:ascii="Calibri" w:cs="Calibri" w:eastAsia="Calibri" w:hAnsi="Calibri"/>
          <w:b/>
          <w:bCs/>
          <w:i w:val="false"/>
          <w:iCs w:val="false"/>
          <w:sz w:val="22"/>
          <w:szCs w:val="22"/>
        </w:rPr>
        <w:t xml:space="preserve">Drevo</w:t>
      </w:r>
      <w:r>
        <w:rPr>
          <w:rFonts w:ascii="Calibri" w:cs="Calibri" w:eastAsia="Calibri" w:hAnsi="Calibri"/>
          <w:sz w:val="22"/>
          <w:szCs w:val="22"/>
        </w:rPr>
        <w:t xml:space="preserve">).</w:t>
      </w:r>
    </w:p>
    <w:p>
      <w:pPr>
        <w:tabs>
          <w:tab w:val="left" w:pos="850"/>
        </w:tabs>
        <w:spacing w:after="140" w:line="276"/>
        <w:ind w:left="850" w:hanging="850"/>
        <w:jc w:val="both"/>
      </w:pPr>
      <w:r>
        <w:rPr>
          <w:rFonts w:ascii="Calibri" w:cs="Calibri" w:eastAsia="Calibri" w:hAnsi="Calibri"/>
          <w:sz w:val="22"/>
          <w:szCs w:val="22"/>
        </w:rPr>
        <w:t xml:space="preserve">1.2</w:t>
        <w:tab/>
      </w:r>
      <w:r>
        <w:rPr>
          <w:rFonts w:ascii="Calibri" w:cs="Calibri" w:eastAsia="Calibri" w:hAnsi="Calibri"/>
          <w:sz w:val="22"/>
          <w:szCs w:val="22"/>
        </w:rPr>
        <w:t xml:space="preserve">To perform same-day deliveries ordered by the Business, Drevo processes personal data relating to the Business’s delivery recipients on the Business’s behalf. This DPA sets out the terms required by Article 28 UK GDPR for that processing, forms part of the Drevo Terms of Service, and applies for as long as Drevo processes Recipient Data for the Business.</w:t>
      </w:r>
    </w:p>
    <w:p>
      <w:pPr>
        <w:tabs>
          <w:tab w:val="left" w:pos="850"/>
        </w:tabs>
        <w:spacing w:after="140" w:line="276"/>
        <w:ind w:left="850" w:hanging="850"/>
        <w:jc w:val="both"/>
      </w:pPr>
      <w:r>
        <w:rPr>
          <w:rFonts w:ascii="Calibri" w:cs="Calibri" w:eastAsia="Calibri" w:hAnsi="Calibri"/>
          <w:sz w:val="22"/>
          <w:szCs w:val="22"/>
        </w:rPr>
        <w:t xml:space="preserve">1.3</w:t>
        <w:tab/>
      </w:r>
      <w:r>
        <w:rPr>
          <w:rFonts w:ascii="Calibri" w:cs="Calibri" w:eastAsia="Calibri" w:hAnsi="Calibri"/>
          <w:sz w:val="22"/>
          <w:szCs w:val="22"/>
        </w:rPr>
        <w:t xml:space="preserve">This DPA applies only to Recipient Data. Personal data that Drevo processes as a controller (for example, the Business’s own account data) is covered by the Drevo Privacy Policy, not by this DPA.</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2.	</w:t>
      </w:r>
      <w:r>
        <w:rPr>
          <w:rFonts w:ascii="Calibri" w:cs="Calibri" w:eastAsia="Calibri" w:hAnsi="Calibri"/>
          <w:b/>
          <w:bCs/>
          <w:color w:val="1F3864"/>
          <w:sz w:val="26"/>
          <w:szCs w:val="26"/>
        </w:rPr>
        <w:t xml:space="preserve">Definitions</w:t>
      </w:r>
    </w:p>
    <w:p>
      <w:pPr>
        <w:tabs>
          <w:tab w:val="left" w:pos="850"/>
        </w:tabs>
        <w:spacing w:after="140" w:line="276"/>
        <w:ind w:left="850" w:hanging="850"/>
        <w:jc w:val="both"/>
      </w:pPr>
      <w:r>
        <w:rPr>
          <w:rFonts w:ascii="Calibri" w:cs="Calibri" w:eastAsia="Calibri" w:hAnsi="Calibri"/>
          <w:sz w:val="22"/>
          <w:szCs w:val="22"/>
        </w:rPr>
        <w:t xml:space="preserve">2.1</w:t>
        <w:tab/>
      </w:r>
      <w:r>
        <w:rPr>
          <w:rFonts w:ascii="Calibri" w:cs="Calibri" w:eastAsia="Calibri" w:hAnsi="Calibri"/>
          <w:sz w:val="22"/>
          <w:szCs w:val="22"/>
        </w:rPr>
        <w:t xml:space="preserve">In this DPA:</w:t>
      </w:r>
    </w:p>
    <w:p>
      <w:pPr>
        <w:spacing w:after="100" w:line="276"/>
        <w:ind w:left="850"/>
        <w:jc w:val="both"/>
      </w:pPr>
      <w:r>
        <w:rPr>
          <w:rFonts w:ascii="Calibri" w:cs="Calibri" w:eastAsia="Calibri" w:hAnsi="Calibri"/>
          <w:b/>
          <w:bCs/>
          <w:i w:val="false"/>
          <w:iCs w:val="false"/>
          <w:sz w:val="22"/>
          <w:szCs w:val="22"/>
        </w:rPr>
        <w:t xml:space="preserve">"Data Protection Law"</w:t>
      </w:r>
      <w:r>
        <w:rPr>
          <w:rFonts w:ascii="Calibri" w:cs="Calibri" w:eastAsia="Calibri" w:hAnsi="Calibri"/>
          <w:sz w:val="22"/>
          <w:szCs w:val="22"/>
        </w:rPr>
        <w:t xml:space="preserve"> </w:t>
      </w:r>
      <w:r>
        <w:rPr>
          <w:rFonts w:ascii="Calibri" w:cs="Calibri" w:eastAsia="Calibri" w:hAnsi="Calibri"/>
          <w:sz w:val="22"/>
          <w:szCs w:val="22"/>
        </w:rPr>
        <w:t xml:space="preserve">means the UK GDPR and the Data Protection Act 2018, and any legislation amending or replacing them;</w:t>
      </w:r>
    </w:p>
    <w:p>
      <w:pPr>
        <w:spacing w:after="100" w:line="276"/>
        <w:ind w:left="850"/>
        <w:jc w:val="both"/>
      </w:pPr>
      <w:r>
        <w:rPr>
          <w:rFonts w:ascii="Calibri" w:cs="Calibri" w:eastAsia="Calibri" w:hAnsi="Calibri"/>
          <w:b/>
          <w:bCs/>
          <w:i w:val="false"/>
          <w:iCs w:val="false"/>
          <w:sz w:val="22"/>
          <w:szCs w:val="22"/>
        </w:rPr>
        <w:t xml:space="preserve">"Recipient Data"</w:t>
      </w:r>
      <w:r>
        <w:rPr>
          <w:rFonts w:ascii="Calibri" w:cs="Calibri" w:eastAsia="Calibri" w:hAnsi="Calibri"/>
          <w:sz w:val="22"/>
          <w:szCs w:val="22"/>
        </w:rPr>
        <w:t xml:space="preserve"> </w:t>
      </w:r>
      <w:r>
        <w:rPr>
          <w:rFonts w:ascii="Calibri" w:cs="Calibri" w:eastAsia="Calibri" w:hAnsi="Calibri"/>
          <w:sz w:val="22"/>
          <w:szCs w:val="22"/>
        </w:rPr>
        <w:t xml:space="preserve">means the personal data described in clause 3 that the Business provides to Drevo, or that is generated in performing a delivery, relating to the Business’s delivery recipients;</w:t>
      </w:r>
    </w:p>
    <w:p>
      <w:pPr>
        <w:spacing w:after="100" w:line="276"/>
        <w:ind w:left="850"/>
        <w:jc w:val="both"/>
      </w:pPr>
      <w:r>
        <w:rPr>
          <w:rFonts w:ascii="Calibri" w:cs="Calibri" w:eastAsia="Calibri" w:hAnsi="Calibri"/>
          <w:b/>
          <w:bCs/>
          <w:i w:val="false"/>
          <w:iCs w:val="false"/>
          <w:sz w:val="22"/>
          <w:szCs w:val="22"/>
        </w:rPr>
        <w:t xml:space="preserve">"Subprocessor"</w:t>
      </w:r>
      <w:r>
        <w:rPr>
          <w:rFonts w:ascii="Calibri" w:cs="Calibri" w:eastAsia="Calibri" w:hAnsi="Calibri"/>
          <w:sz w:val="22"/>
          <w:szCs w:val="22"/>
        </w:rPr>
        <w:t xml:space="preserve"> </w:t>
      </w:r>
      <w:r>
        <w:rPr>
          <w:rFonts w:ascii="Calibri" w:cs="Calibri" w:eastAsia="Calibri" w:hAnsi="Calibri"/>
          <w:sz w:val="22"/>
          <w:szCs w:val="22"/>
        </w:rPr>
        <w:t xml:space="preserve">means a third party engaged by Drevo to process Recipient Data;</w:t>
      </w:r>
    </w:p>
    <w:p>
      <w:pPr>
        <w:spacing w:after="100" w:line="276"/>
        <w:ind w:left="850"/>
        <w:jc w:val="both"/>
      </w:pPr>
      <w:r>
        <w:rPr>
          <w:rFonts w:ascii="Calibri" w:cs="Calibri" w:eastAsia="Calibri" w:hAnsi="Calibri"/>
          <w:b/>
          <w:bCs/>
          <w:i w:val="false"/>
          <w:iCs w:val="false"/>
          <w:sz w:val="22"/>
          <w:szCs w:val="22"/>
        </w:rPr>
        <w:t xml:space="preserve">"Terms"</w:t>
      </w:r>
      <w:r>
        <w:rPr>
          <w:rFonts w:ascii="Calibri" w:cs="Calibri" w:eastAsia="Calibri" w:hAnsi="Calibri"/>
          <w:sz w:val="22"/>
          <w:szCs w:val="22"/>
        </w:rPr>
        <w:t xml:space="preserve"> </w:t>
      </w:r>
      <w:r>
        <w:rPr>
          <w:rFonts w:ascii="Calibri" w:cs="Calibri" w:eastAsia="Calibri" w:hAnsi="Calibri"/>
          <w:sz w:val="22"/>
          <w:szCs w:val="22"/>
        </w:rPr>
        <w:t xml:space="preserve">means the Drevo Terms of Service between the Business and Drevo.</w:t>
      </w:r>
    </w:p>
    <w:p>
      <w:pPr>
        <w:tabs>
          <w:tab w:val="left" w:pos="850"/>
        </w:tabs>
        <w:spacing w:after="140" w:line="276"/>
        <w:ind w:left="850" w:hanging="850"/>
        <w:jc w:val="both"/>
      </w:pPr>
      <w:r>
        <w:rPr>
          <w:rFonts w:ascii="Calibri" w:cs="Calibri" w:eastAsia="Calibri" w:hAnsi="Calibri"/>
          <w:sz w:val="22"/>
          <w:szCs w:val="22"/>
        </w:rPr>
        <w:t xml:space="preserve">2.2</w:t>
        <w:tab/>
      </w:r>
      <w:r>
        <w:rPr>
          <w:rFonts w:ascii="Calibri" w:cs="Calibri" w:eastAsia="Calibri" w:hAnsi="Calibri"/>
          <w:sz w:val="22"/>
          <w:szCs w:val="22"/>
        </w:rPr>
        <w:t xml:space="preserve">Terms such as "controller", "processor", "data subject", "personal data", "processing" and "personal data breach" have the meanings given in Data Protection Law.</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3.	</w:t>
      </w:r>
      <w:r>
        <w:rPr>
          <w:rFonts w:ascii="Calibri" w:cs="Calibri" w:eastAsia="Calibri" w:hAnsi="Calibri"/>
          <w:b/>
          <w:bCs/>
          <w:color w:val="1F3864"/>
          <w:sz w:val="26"/>
          <w:szCs w:val="26"/>
        </w:rPr>
        <w:t xml:space="preserve">Details of the Processing</w:t>
      </w:r>
    </w:p>
    <w:p>
      <w:pPr>
        <w:tabs>
          <w:tab w:val="left" w:pos="850"/>
        </w:tabs>
        <w:spacing w:after="140" w:line="276"/>
        <w:ind w:left="850" w:hanging="850"/>
        <w:jc w:val="both"/>
      </w:pPr>
      <w:r>
        <w:rPr>
          <w:rFonts w:ascii="Calibri" w:cs="Calibri" w:eastAsia="Calibri" w:hAnsi="Calibri"/>
          <w:sz w:val="22"/>
          <w:szCs w:val="22"/>
        </w:rPr>
        <w:t xml:space="preserve">3.1</w:t>
        <w:tab/>
      </w:r>
      <w:r>
        <w:rPr>
          <w:rFonts w:ascii="Calibri" w:cs="Calibri" w:eastAsia="Calibri" w:hAnsi="Calibri"/>
          <w:sz w:val="22"/>
          <w:szCs w:val="22"/>
        </w:rPr>
        <w:t xml:space="preserve">The particulars of the processing required by Article 28(3) UK GDPR are:</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700"/>
        <w:gridCol w:w="6326"/>
      </w:tblGrid>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Subject matter</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Delivery of parcels from the Business to its recipients, including routing, live tracking, proof of delivery and delivery support.</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Duration</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The period during which the Business holds a Drevo account and any subsequent period until Recipient Data is deleted or returned under clause 11, subject to legal retention requirements.</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Nature of processing</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Collection (from the Business), storage, organisation, transmission to the assigned driver, use for routing and delivery, capture of proof-of-delivery records, retrieval for support and claims, and deletion.</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Purpose</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Performing the same-day delivery services ordered by the Business under the Terms.</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Categories of data subjects</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The Business’s customers and other persons to whom the Business addresses parcels (delivery recipients).</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Categories of personal data</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Recipient name; phone number; email address (optional); delivery address; delivery instructions (which may contain door or gate codes); proof-of-delivery photograph taken at the point of delivery (which may capture a doorstep or property exterior); GPS coordinates and timestamp of delivery.</w:t>
            </w:r>
          </w:p>
        </w:tc>
      </w:tr>
      <w:tr>
        <w:tc>
          <w:tcPr>
            <w:tcW w:type="dxa" w:w="2700"/>
            <w:shd w:fill="F2F4F8" w:val="clear"/>
            <w:tcMar>
              <w:top w:type="dxa" w:w="90"/>
              <w:left w:type="dxa" w:w="140"/>
              <w:bottom w:type="dxa" w:w="90"/>
              <w:right w:type="dxa" w:w="140"/>
            </w:tcMar>
            <w:vAlign w:val="top"/>
          </w:tcPr>
          <w:p>
            <w:pPr>
              <w:spacing w:after="0"/>
            </w:pPr>
            <w:r>
              <w:rPr>
                <w:rFonts w:ascii="Calibri" w:cs="Calibri" w:eastAsia="Calibri" w:hAnsi="Calibri"/>
                <w:b/>
                <w:bCs/>
                <w:sz w:val="21"/>
                <w:szCs w:val="21"/>
              </w:rPr>
              <w:t xml:space="preserve">Special category data</w:t>
            </w:r>
          </w:p>
        </w:tc>
        <w:tc>
          <w:tcPr>
            <w:tcW w:type="dxa" w:w="6326"/>
            <w:tcMar>
              <w:top w:type="dxa" w:w="90"/>
              <w:left w:type="dxa" w:w="140"/>
              <w:bottom w:type="dxa" w:w="90"/>
              <w:right w:type="dxa" w:w="140"/>
            </w:tcMar>
            <w:vAlign w:val="top"/>
          </w:tcPr>
          <w:p>
            <w:pPr>
              <w:spacing w:after="0"/>
              <w:jc w:val="both"/>
            </w:pPr>
            <w:r>
              <w:rPr>
                <w:rFonts w:ascii="Calibri" w:cs="Calibri" w:eastAsia="Calibri" w:hAnsi="Calibri"/>
                <w:sz w:val="21"/>
                <w:szCs w:val="21"/>
              </w:rPr>
              <w:t xml:space="preserve">None intended or required. The Business must not include special category data in delivery instructions or other free-text fields.</w:t>
            </w:r>
          </w:p>
        </w:tc>
      </w:tr>
    </w:tbl>
    <w:p>
      <w:pPr>
        <w:spacing w:after="200"/>
      </w:pP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4.	</w:t>
      </w:r>
      <w:r>
        <w:rPr>
          <w:rFonts w:ascii="Calibri" w:cs="Calibri" w:eastAsia="Calibri" w:hAnsi="Calibri"/>
          <w:b/>
          <w:bCs/>
          <w:color w:val="1F3864"/>
          <w:sz w:val="26"/>
          <w:szCs w:val="26"/>
        </w:rPr>
        <w:t xml:space="preserve">Processor Obligations</w:t>
      </w:r>
    </w:p>
    <w:p>
      <w:pPr>
        <w:tabs>
          <w:tab w:val="left" w:pos="850"/>
        </w:tabs>
        <w:spacing w:after="140" w:line="276"/>
        <w:ind w:left="850" w:hanging="850"/>
        <w:jc w:val="both"/>
      </w:pPr>
      <w:r>
        <w:rPr>
          <w:rFonts w:ascii="Calibri" w:cs="Calibri" w:eastAsia="Calibri" w:hAnsi="Calibri"/>
          <w:sz w:val="22"/>
          <w:szCs w:val="22"/>
        </w:rPr>
        <w:t xml:space="preserve">4.1</w:t>
        <w:tab/>
      </w:r>
      <w:r>
        <w:rPr>
          <w:rFonts w:ascii="Calibri" w:cs="Calibri" w:eastAsia="Calibri" w:hAnsi="Calibri"/>
          <w:sz w:val="22"/>
          <w:szCs w:val="22"/>
        </w:rPr>
        <w:t xml:space="preserve">Drevo shall:</w:t>
      </w:r>
    </w:p>
    <w:p>
      <w:pPr>
        <w:tabs>
          <w:tab w:val="left" w:pos="1560"/>
        </w:tabs>
        <w:spacing w:after="100" w:line="276"/>
        <w:ind w:left="1560" w:hanging="710"/>
        <w:jc w:val="both"/>
      </w:pPr>
      <w:r>
        <w:rPr>
          <w:rFonts w:ascii="Calibri" w:cs="Calibri" w:eastAsia="Calibri" w:hAnsi="Calibri"/>
          <w:sz w:val="22"/>
          <w:szCs w:val="22"/>
        </w:rPr>
        <w:t xml:space="preserve">(a)</w:t>
        <w:tab/>
      </w:r>
      <w:r>
        <w:rPr>
          <w:rFonts w:ascii="Calibri" w:cs="Calibri" w:eastAsia="Calibri" w:hAnsi="Calibri"/>
          <w:sz w:val="22"/>
          <w:szCs w:val="22"/>
        </w:rPr>
        <w:t xml:space="preserve">process Recipient Data only on the documented instructions of the Business (which are given by placing orders and using the platform’s features, and as set out in the Terms and this DPA), unless required to do otherwise by law, in which case Drevo will inform the Business unless the law prohibits it;</w:t>
      </w:r>
    </w:p>
    <w:p>
      <w:pPr>
        <w:tabs>
          <w:tab w:val="left" w:pos="1560"/>
        </w:tabs>
        <w:spacing w:after="100" w:line="276"/>
        <w:ind w:left="1560" w:hanging="710"/>
        <w:jc w:val="both"/>
      </w:pPr>
      <w:r>
        <w:rPr>
          <w:rFonts w:ascii="Calibri" w:cs="Calibri" w:eastAsia="Calibri" w:hAnsi="Calibri"/>
          <w:sz w:val="22"/>
          <w:szCs w:val="22"/>
        </w:rPr>
        <w:t xml:space="preserve">(b)</w:t>
        <w:tab/>
      </w:r>
      <w:r>
        <w:rPr>
          <w:rFonts w:ascii="Calibri" w:cs="Calibri" w:eastAsia="Calibri" w:hAnsi="Calibri"/>
          <w:sz w:val="22"/>
          <w:szCs w:val="22"/>
        </w:rPr>
        <w:t xml:space="preserve">inform the Business immediately if, in Drevo’s opinion, an instruction infringes Data Protection Law;</w:t>
      </w:r>
    </w:p>
    <w:p>
      <w:pPr>
        <w:tabs>
          <w:tab w:val="left" w:pos="1560"/>
        </w:tabs>
        <w:spacing w:after="100" w:line="276"/>
        <w:ind w:left="1560" w:hanging="710"/>
        <w:jc w:val="both"/>
      </w:pPr>
      <w:r>
        <w:rPr>
          <w:rFonts w:ascii="Calibri" w:cs="Calibri" w:eastAsia="Calibri" w:hAnsi="Calibri"/>
          <w:sz w:val="22"/>
          <w:szCs w:val="22"/>
        </w:rPr>
        <w:t xml:space="preserve">(c)</w:t>
        <w:tab/>
      </w:r>
      <w:r>
        <w:rPr>
          <w:rFonts w:ascii="Calibri" w:cs="Calibri" w:eastAsia="Calibri" w:hAnsi="Calibri"/>
          <w:sz w:val="22"/>
          <w:szCs w:val="22"/>
        </w:rPr>
        <w:t xml:space="preserve">ensure that all persons authorised to process Recipient Data (including Drevo staff and drivers) are subject to obligations of confidentiality;</w:t>
      </w:r>
    </w:p>
    <w:p>
      <w:pPr>
        <w:tabs>
          <w:tab w:val="left" w:pos="1560"/>
        </w:tabs>
        <w:spacing w:after="100" w:line="276"/>
        <w:ind w:left="1560" w:hanging="710"/>
        <w:jc w:val="both"/>
      </w:pPr>
      <w:r>
        <w:rPr>
          <w:rFonts w:ascii="Calibri" w:cs="Calibri" w:eastAsia="Calibri" w:hAnsi="Calibri"/>
          <w:sz w:val="22"/>
          <w:szCs w:val="22"/>
        </w:rPr>
        <w:t xml:space="preserve">(d)</w:t>
        <w:tab/>
      </w:r>
      <w:r>
        <w:rPr>
          <w:rFonts w:ascii="Calibri" w:cs="Calibri" w:eastAsia="Calibri" w:hAnsi="Calibri"/>
          <w:sz w:val="22"/>
          <w:szCs w:val="22"/>
        </w:rPr>
        <w:t xml:space="preserve">implement the technical and organisational security measures set out in clause 5;</w:t>
      </w:r>
    </w:p>
    <w:p>
      <w:pPr>
        <w:tabs>
          <w:tab w:val="left" w:pos="1560"/>
        </w:tabs>
        <w:spacing w:after="100" w:line="276"/>
        <w:ind w:left="1560" w:hanging="710"/>
        <w:jc w:val="both"/>
      </w:pPr>
      <w:r>
        <w:rPr>
          <w:rFonts w:ascii="Calibri" w:cs="Calibri" w:eastAsia="Calibri" w:hAnsi="Calibri"/>
          <w:sz w:val="22"/>
          <w:szCs w:val="22"/>
        </w:rPr>
        <w:t xml:space="preserve">(e)</w:t>
        <w:tab/>
      </w:r>
      <w:r>
        <w:rPr>
          <w:rFonts w:ascii="Calibri" w:cs="Calibri" w:eastAsia="Calibri" w:hAnsi="Calibri"/>
          <w:sz w:val="22"/>
          <w:szCs w:val="22"/>
        </w:rPr>
        <w:t xml:space="preserve">comply with clause 6 in respect of Subprocessors;</w:t>
      </w:r>
    </w:p>
    <w:p>
      <w:pPr>
        <w:tabs>
          <w:tab w:val="left" w:pos="1560"/>
        </w:tabs>
        <w:spacing w:after="100" w:line="276"/>
        <w:ind w:left="1560" w:hanging="710"/>
        <w:jc w:val="both"/>
      </w:pPr>
      <w:r>
        <w:rPr>
          <w:rFonts w:ascii="Calibri" w:cs="Calibri" w:eastAsia="Calibri" w:hAnsi="Calibri"/>
          <w:sz w:val="22"/>
          <w:szCs w:val="22"/>
        </w:rPr>
        <w:t xml:space="preserve">(f)</w:t>
        <w:tab/>
      </w:r>
      <w:r>
        <w:rPr>
          <w:rFonts w:ascii="Calibri" w:cs="Calibri" w:eastAsia="Calibri" w:hAnsi="Calibri"/>
          <w:sz w:val="22"/>
          <w:szCs w:val="22"/>
        </w:rPr>
        <w:t xml:space="preserve">assist the Business as set out in clauses 7 and 8;</w:t>
      </w:r>
    </w:p>
    <w:p>
      <w:pPr>
        <w:tabs>
          <w:tab w:val="left" w:pos="1560"/>
        </w:tabs>
        <w:spacing w:after="100" w:line="276"/>
        <w:ind w:left="1560" w:hanging="710"/>
        <w:jc w:val="both"/>
      </w:pPr>
      <w:r>
        <w:rPr>
          <w:rFonts w:ascii="Calibri" w:cs="Calibri" w:eastAsia="Calibri" w:hAnsi="Calibri"/>
          <w:sz w:val="22"/>
          <w:szCs w:val="22"/>
        </w:rPr>
        <w:t xml:space="preserve">(g)</w:t>
        <w:tab/>
      </w:r>
      <w:r>
        <w:rPr>
          <w:rFonts w:ascii="Calibri" w:cs="Calibri" w:eastAsia="Calibri" w:hAnsi="Calibri"/>
          <w:sz w:val="22"/>
          <w:szCs w:val="22"/>
        </w:rPr>
        <w:t xml:space="preserve">delete or return Recipient Data as set out in clause 11; and</w:t>
      </w:r>
    </w:p>
    <w:p>
      <w:pPr>
        <w:tabs>
          <w:tab w:val="left" w:pos="1560"/>
        </w:tabs>
        <w:spacing w:after="100" w:line="276"/>
        <w:ind w:left="1560" w:hanging="710"/>
        <w:jc w:val="both"/>
      </w:pPr>
      <w:r>
        <w:rPr>
          <w:rFonts w:ascii="Calibri" w:cs="Calibri" w:eastAsia="Calibri" w:hAnsi="Calibri"/>
          <w:sz w:val="22"/>
          <w:szCs w:val="22"/>
        </w:rPr>
        <w:t xml:space="preserve">(h)</w:t>
        <w:tab/>
      </w:r>
      <w:r>
        <w:rPr>
          <w:rFonts w:ascii="Calibri" w:cs="Calibri" w:eastAsia="Calibri" w:hAnsi="Calibri"/>
          <w:sz w:val="22"/>
          <w:szCs w:val="22"/>
        </w:rPr>
        <w:t xml:space="preserve">make available to the Business the information reasonably necessary to demonstrate compliance with Article 28 UK GDPR, and allow for audits as set out in clause 10.</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5.	</w:t>
      </w:r>
      <w:r>
        <w:rPr>
          <w:rFonts w:ascii="Calibri" w:cs="Calibri" w:eastAsia="Calibri" w:hAnsi="Calibri"/>
          <w:b/>
          <w:bCs/>
          <w:color w:val="1F3864"/>
          <w:sz w:val="26"/>
          <w:szCs w:val="26"/>
        </w:rPr>
        <w:t xml:space="preserve">Security Measures</w:t>
      </w:r>
    </w:p>
    <w:p>
      <w:pPr>
        <w:tabs>
          <w:tab w:val="left" w:pos="850"/>
        </w:tabs>
        <w:spacing w:after="140" w:line="276"/>
        <w:ind w:left="850" w:hanging="850"/>
        <w:jc w:val="both"/>
      </w:pPr>
      <w:r>
        <w:rPr>
          <w:rFonts w:ascii="Calibri" w:cs="Calibri" w:eastAsia="Calibri" w:hAnsi="Calibri"/>
          <w:sz w:val="22"/>
          <w:szCs w:val="22"/>
        </w:rPr>
        <w:t xml:space="preserve">5.1</w:t>
        <w:tab/>
      </w:r>
      <w:r>
        <w:rPr>
          <w:rFonts w:ascii="Calibri" w:cs="Calibri" w:eastAsia="Calibri" w:hAnsi="Calibri"/>
          <w:sz w:val="22"/>
          <w:szCs w:val="22"/>
        </w:rPr>
        <w:t xml:space="preserve">Drevo implements and maintains the following technical and organisational measures:</w:t>
      </w:r>
    </w:p>
    <w:p>
      <w:pPr>
        <w:tabs>
          <w:tab w:val="left" w:pos="1560"/>
        </w:tabs>
        <w:spacing w:after="100" w:line="276"/>
        <w:ind w:left="1560" w:hanging="710"/>
        <w:jc w:val="both"/>
      </w:pPr>
      <w:r>
        <w:rPr>
          <w:rFonts w:ascii="Calibri" w:cs="Calibri" w:eastAsia="Calibri" w:hAnsi="Calibri"/>
          <w:sz w:val="22"/>
          <w:szCs w:val="22"/>
        </w:rPr>
        <w:t xml:space="preserve">(a)</w:t>
        <w:tab/>
      </w:r>
      <w:r>
        <w:rPr>
          <w:rFonts w:ascii="Calibri" w:cs="Calibri" w:eastAsia="Calibri" w:hAnsi="Calibri"/>
          <w:sz w:val="22"/>
          <w:szCs w:val="22"/>
        </w:rPr>
        <w:t xml:space="preserve">passwords stored only as secure hashes; token-based (JWT) authentication;</w:t>
      </w:r>
    </w:p>
    <w:p>
      <w:pPr>
        <w:tabs>
          <w:tab w:val="left" w:pos="1560"/>
        </w:tabs>
        <w:spacing w:after="100" w:line="276"/>
        <w:ind w:left="1560" w:hanging="710"/>
        <w:jc w:val="both"/>
      </w:pPr>
      <w:r>
        <w:rPr>
          <w:rFonts w:ascii="Calibri" w:cs="Calibri" w:eastAsia="Calibri" w:hAnsi="Calibri"/>
          <w:sz w:val="22"/>
          <w:szCs w:val="22"/>
        </w:rPr>
        <w:t xml:space="preserve">(b)</w:t>
        <w:tab/>
      </w:r>
      <w:r>
        <w:rPr>
          <w:rFonts w:ascii="Calibri" w:cs="Calibri" w:eastAsia="Calibri" w:hAnsi="Calibri"/>
          <w:sz w:val="22"/>
          <w:szCs w:val="22"/>
        </w:rPr>
        <w:t xml:space="preserve">role-based access control for Drevo staff (support, admin and super-admin roles) with two-factor authentication;</w:t>
      </w:r>
    </w:p>
    <w:p>
      <w:pPr>
        <w:tabs>
          <w:tab w:val="left" w:pos="1560"/>
        </w:tabs>
        <w:spacing w:after="100" w:line="276"/>
        <w:ind w:left="1560" w:hanging="710"/>
        <w:jc w:val="both"/>
      </w:pPr>
      <w:r>
        <w:rPr>
          <w:rFonts w:ascii="Calibri" w:cs="Calibri" w:eastAsia="Calibri" w:hAnsi="Calibri"/>
          <w:sz w:val="22"/>
          <w:szCs w:val="22"/>
        </w:rPr>
        <w:t xml:space="preserve">(c)</w:t>
        <w:tab/>
      </w:r>
      <w:r>
        <w:rPr>
          <w:rFonts w:ascii="Calibri" w:cs="Calibri" w:eastAsia="Calibri" w:hAnsi="Calibri"/>
          <w:sz w:val="22"/>
          <w:szCs w:val="22"/>
        </w:rPr>
        <w:t xml:space="preserve">proof-of-delivery photographs and uploaded documents held in a private file store with no public URLs, accessible only to authorised staff;</w:t>
      </w:r>
    </w:p>
    <w:p>
      <w:pPr>
        <w:tabs>
          <w:tab w:val="left" w:pos="1560"/>
        </w:tabs>
        <w:spacing w:after="100" w:line="276"/>
        <w:ind w:left="1560" w:hanging="710"/>
        <w:jc w:val="both"/>
      </w:pPr>
      <w:r>
        <w:rPr>
          <w:rFonts w:ascii="Calibri" w:cs="Calibri" w:eastAsia="Calibri" w:hAnsi="Calibri"/>
          <w:sz w:val="22"/>
          <w:szCs w:val="22"/>
        </w:rPr>
        <w:t xml:space="preserve">(d)</w:t>
        <w:tab/>
      </w:r>
      <w:r>
        <w:rPr>
          <w:rFonts w:ascii="Calibri" w:cs="Calibri" w:eastAsia="Calibri" w:hAnsi="Calibri"/>
          <w:sz w:val="22"/>
          <w:szCs w:val="22"/>
        </w:rPr>
        <w:t xml:space="preserve">server-side authority over all pricing and payment flows (client devices cannot alter amounts);</w:t>
      </w:r>
    </w:p>
    <w:p>
      <w:pPr>
        <w:tabs>
          <w:tab w:val="left" w:pos="1560"/>
        </w:tabs>
        <w:spacing w:after="100" w:line="276"/>
        <w:ind w:left="1560" w:hanging="710"/>
        <w:jc w:val="both"/>
      </w:pPr>
      <w:r>
        <w:rPr>
          <w:rFonts w:ascii="Calibri" w:cs="Calibri" w:eastAsia="Calibri" w:hAnsi="Calibri"/>
          <w:sz w:val="22"/>
          <w:szCs w:val="22"/>
        </w:rPr>
        <w:t xml:space="preserve">(e)</w:t>
        <w:tab/>
      </w:r>
      <w:r>
        <w:rPr>
          <w:rFonts w:ascii="Calibri" w:cs="Calibri" w:eastAsia="Calibri" w:hAnsi="Calibri"/>
          <w:sz w:val="22"/>
          <w:szCs w:val="22"/>
        </w:rPr>
        <w:t xml:space="preserve">rate limiting on platform endpoints;</w:t>
      </w:r>
    </w:p>
    <w:p>
      <w:pPr>
        <w:tabs>
          <w:tab w:val="left" w:pos="1560"/>
        </w:tabs>
        <w:spacing w:after="100" w:line="276"/>
        <w:ind w:left="1560" w:hanging="710"/>
        <w:jc w:val="both"/>
      </w:pPr>
      <w:r>
        <w:rPr>
          <w:rFonts w:ascii="Calibri" w:cs="Calibri" w:eastAsia="Calibri" w:hAnsi="Calibri"/>
          <w:sz w:val="22"/>
          <w:szCs w:val="22"/>
        </w:rPr>
        <w:t xml:space="preserve">(f)</w:t>
        <w:tab/>
      </w:r>
      <w:r>
        <w:rPr>
          <w:rFonts w:ascii="Calibri" w:cs="Calibri" w:eastAsia="Calibri" w:hAnsi="Calibri"/>
          <w:sz w:val="22"/>
          <w:szCs w:val="22"/>
        </w:rPr>
        <w:t xml:space="preserve">an audit log of staff actions; and</w:t>
      </w:r>
    </w:p>
    <w:p>
      <w:pPr>
        <w:tabs>
          <w:tab w:val="left" w:pos="1560"/>
        </w:tabs>
        <w:spacing w:after="100" w:line="276"/>
        <w:ind w:left="1560" w:hanging="710"/>
        <w:jc w:val="both"/>
      </w:pPr>
      <w:r>
        <w:rPr>
          <w:rFonts w:ascii="Calibri" w:cs="Calibri" w:eastAsia="Calibri" w:hAnsi="Calibri"/>
          <w:sz w:val="22"/>
          <w:szCs w:val="22"/>
        </w:rPr>
        <w:t xml:space="preserve">(g)</w:t>
        <w:tab/>
      </w:r>
      <w:r>
        <w:rPr>
          <w:rFonts w:ascii="Calibri" w:cs="Calibri" w:eastAsia="Calibri" w:hAnsi="Calibri"/>
          <w:sz w:val="22"/>
          <w:szCs w:val="22"/>
        </w:rPr>
        <w:t xml:space="preserve">one-time password-reset links valid for 30 minutes.</w:t>
      </w:r>
    </w:p>
    <w:p>
      <w:pPr>
        <w:tabs>
          <w:tab w:val="left" w:pos="850"/>
        </w:tabs>
        <w:spacing w:after="140" w:line="276"/>
        <w:ind w:left="850" w:hanging="850"/>
        <w:jc w:val="both"/>
      </w:pPr>
      <w:r>
        <w:rPr>
          <w:rFonts w:ascii="Calibri" w:cs="Calibri" w:eastAsia="Calibri" w:hAnsi="Calibri"/>
          <w:sz w:val="22"/>
          <w:szCs w:val="22"/>
        </w:rPr>
        <w:t xml:space="preserve">5.2</w:t>
        <w:tab/>
      </w:r>
      <w:r>
        <w:rPr>
          <w:rFonts w:ascii="Calibri" w:cs="Calibri" w:eastAsia="Calibri" w:hAnsi="Calibri"/>
          <w:sz w:val="22"/>
          <w:szCs w:val="22"/>
        </w:rPr>
        <w:t xml:space="preserve">Drevo may update these measures from time to time, provided the overall level of security is not reduced.</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6.	</w:t>
      </w:r>
      <w:r>
        <w:rPr>
          <w:rFonts w:ascii="Calibri" w:cs="Calibri" w:eastAsia="Calibri" w:hAnsi="Calibri"/>
          <w:b/>
          <w:bCs/>
          <w:color w:val="1F3864"/>
          <w:sz w:val="26"/>
          <w:szCs w:val="26"/>
        </w:rPr>
        <w:t xml:space="preserve">Subprocessors</w:t>
      </w:r>
    </w:p>
    <w:p>
      <w:pPr>
        <w:tabs>
          <w:tab w:val="left" w:pos="850"/>
        </w:tabs>
        <w:spacing w:after="140" w:line="276"/>
        <w:ind w:left="850" w:hanging="850"/>
        <w:jc w:val="both"/>
      </w:pPr>
      <w:r>
        <w:rPr>
          <w:rFonts w:ascii="Calibri" w:cs="Calibri" w:eastAsia="Calibri" w:hAnsi="Calibri"/>
          <w:sz w:val="22"/>
          <w:szCs w:val="22"/>
        </w:rPr>
        <w:t xml:space="preserve">6.1</w:t>
        <w:tab/>
      </w:r>
      <w:r>
        <w:rPr>
          <w:rFonts w:ascii="Calibri" w:cs="Calibri" w:eastAsia="Calibri" w:hAnsi="Calibri"/>
          <w:sz w:val="22"/>
          <w:szCs w:val="22"/>
        </w:rPr>
        <w:t xml:space="preserve">The Business gives general written authorisation for Drevo to engage Subprocessors, and specifically authorises the following Subprocessors as at the date of this DPA: Vercel (application hosting, USA/EU); Neon (Postgres database); Vercel Blob (private file storage); Stripe (payments); Twilio (SMS verification); Resend (transactional email); Mapbox (maps and geocoding); Ideal Postcodes (UK address lookup); Companies House API (company verification); and Expo (push notifications).</w:t>
      </w:r>
    </w:p>
    <w:p>
      <w:pPr>
        <w:tabs>
          <w:tab w:val="left" w:pos="850"/>
        </w:tabs>
        <w:spacing w:after="140" w:line="276"/>
        <w:ind w:left="850" w:hanging="850"/>
        <w:jc w:val="both"/>
      </w:pPr>
      <w:r>
        <w:rPr>
          <w:rFonts w:ascii="Calibri" w:cs="Calibri" w:eastAsia="Calibri" w:hAnsi="Calibri"/>
          <w:sz w:val="22"/>
          <w:szCs w:val="22"/>
        </w:rPr>
        <w:t xml:space="preserve">6.2</w:t>
        <w:tab/>
      </w:r>
      <w:r>
        <w:rPr>
          <w:rFonts w:ascii="Calibri" w:cs="Calibri" w:eastAsia="Calibri" w:hAnsi="Calibri"/>
          <w:sz w:val="22"/>
          <w:szCs w:val="22"/>
        </w:rPr>
        <w:t xml:space="preserve">Drevo will give the Business prior notice of any intended addition or replacement of a Subprocessor. The Business may object on reasonable data protection grounds within 14 days of the notice; if the objection cannot be resolved, the Business may close its account and this DPA will end in accordance with clause 11.</w:t>
      </w:r>
    </w:p>
    <w:p>
      <w:pPr>
        <w:tabs>
          <w:tab w:val="left" w:pos="850"/>
        </w:tabs>
        <w:spacing w:after="140" w:line="276"/>
        <w:ind w:left="850" w:hanging="850"/>
        <w:jc w:val="both"/>
      </w:pPr>
      <w:r>
        <w:rPr>
          <w:rFonts w:ascii="Calibri" w:cs="Calibri" w:eastAsia="Calibri" w:hAnsi="Calibri"/>
          <w:sz w:val="22"/>
          <w:szCs w:val="22"/>
        </w:rPr>
        <w:t xml:space="preserve">6.3</w:t>
        <w:tab/>
      </w:r>
      <w:r>
        <w:rPr>
          <w:rFonts w:ascii="Calibri" w:cs="Calibri" w:eastAsia="Calibri" w:hAnsi="Calibri"/>
          <w:sz w:val="22"/>
          <w:szCs w:val="22"/>
        </w:rPr>
        <w:t xml:space="preserve">Drevo will impose data protection obligations on each Subprocessor materially equivalent to those in this DPA, and remains fully liable to the Business for the performance of each Subprocessor’s obligations.</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7.	</w:t>
      </w:r>
      <w:r>
        <w:rPr>
          <w:rFonts w:ascii="Calibri" w:cs="Calibri" w:eastAsia="Calibri" w:hAnsi="Calibri"/>
          <w:b/>
          <w:bCs/>
          <w:color w:val="1F3864"/>
          <w:sz w:val="26"/>
          <w:szCs w:val="26"/>
        </w:rPr>
        <w:t xml:space="preserve">Data Subject Requests</w:t>
      </w:r>
    </w:p>
    <w:p>
      <w:pPr>
        <w:tabs>
          <w:tab w:val="left" w:pos="850"/>
        </w:tabs>
        <w:spacing w:after="140" w:line="276"/>
        <w:ind w:left="850" w:hanging="850"/>
        <w:jc w:val="both"/>
      </w:pPr>
      <w:r>
        <w:rPr>
          <w:rFonts w:ascii="Calibri" w:cs="Calibri" w:eastAsia="Calibri" w:hAnsi="Calibri"/>
          <w:sz w:val="22"/>
          <w:szCs w:val="22"/>
        </w:rPr>
        <w:t xml:space="preserve">7.1</w:t>
        <w:tab/>
      </w:r>
      <w:r>
        <w:rPr>
          <w:rFonts w:ascii="Calibri" w:cs="Calibri" w:eastAsia="Calibri" w:hAnsi="Calibri"/>
          <w:sz w:val="22"/>
          <w:szCs w:val="22"/>
        </w:rPr>
        <w:t xml:space="preserve">Taking into account the nature of the processing, Drevo will assist the Business by appropriate technical and organisational measures, insofar as this is possible, to respond to requests from data subjects exercising their rights under Data Protection Law.</w:t>
      </w:r>
    </w:p>
    <w:p>
      <w:pPr>
        <w:tabs>
          <w:tab w:val="left" w:pos="850"/>
        </w:tabs>
        <w:spacing w:after="140" w:line="276"/>
        <w:ind w:left="850" w:hanging="850"/>
        <w:jc w:val="both"/>
      </w:pPr>
      <w:r>
        <w:rPr>
          <w:rFonts w:ascii="Calibri" w:cs="Calibri" w:eastAsia="Calibri" w:hAnsi="Calibri"/>
          <w:sz w:val="22"/>
          <w:szCs w:val="22"/>
        </w:rPr>
        <w:t xml:space="preserve">7.2</w:t>
        <w:tab/>
      </w:r>
      <w:r>
        <w:rPr>
          <w:rFonts w:ascii="Calibri" w:cs="Calibri" w:eastAsia="Calibri" w:hAnsi="Calibri"/>
          <w:sz w:val="22"/>
          <w:szCs w:val="22"/>
        </w:rPr>
        <w:t xml:space="preserve">If Drevo receives a request directly from a data subject relating to Recipient Data, Drevo will pass the request to the Business without undue delay and will not respond substantively except on the Business’s instructions or where required by law.</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8.	</w:t>
      </w:r>
      <w:r>
        <w:rPr>
          <w:rFonts w:ascii="Calibri" w:cs="Calibri" w:eastAsia="Calibri" w:hAnsi="Calibri"/>
          <w:b/>
          <w:bCs/>
          <w:color w:val="1F3864"/>
          <w:sz w:val="26"/>
          <w:szCs w:val="26"/>
        </w:rPr>
        <w:t xml:space="preserve">Personal Data Breach and Other Assistance</w:t>
      </w:r>
    </w:p>
    <w:p>
      <w:pPr>
        <w:tabs>
          <w:tab w:val="left" w:pos="850"/>
        </w:tabs>
        <w:spacing w:after="140" w:line="276"/>
        <w:ind w:left="850" w:hanging="850"/>
        <w:jc w:val="both"/>
      </w:pPr>
      <w:r>
        <w:rPr>
          <w:rFonts w:ascii="Calibri" w:cs="Calibri" w:eastAsia="Calibri" w:hAnsi="Calibri"/>
          <w:sz w:val="22"/>
          <w:szCs w:val="22"/>
        </w:rPr>
        <w:t xml:space="preserve">8.1</w:t>
        <w:tab/>
      </w:r>
      <w:r>
        <w:rPr>
          <w:rFonts w:ascii="Calibri" w:cs="Calibri" w:eastAsia="Calibri" w:hAnsi="Calibri"/>
          <w:sz w:val="22"/>
          <w:szCs w:val="22"/>
        </w:rPr>
        <w:t xml:space="preserve">Drevo will notify the Business </w:t>
      </w:r>
      <w:r>
        <w:rPr>
          <w:rFonts w:ascii="Calibri" w:cs="Calibri" w:eastAsia="Calibri" w:hAnsi="Calibri"/>
          <w:b/>
          <w:bCs/>
          <w:i w:val="false"/>
          <w:iCs w:val="false"/>
          <w:sz w:val="22"/>
          <w:szCs w:val="22"/>
        </w:rPr>
        <w:t xml:space="preserve">without undue delay, and in any event within 48 hours</w:t>
      </w:r>
      <w:r>
        <w:rPr>
          <w:rFonts w:ascii="Calibri" w:cs="Calibri" w:eastAsia="Calibri" w:hAnsi="Calibri"/>
          <w:sz w:val="22"/>
          <w:szCs w:val="22"/>
        </w:rPr>
        <w:t xml:space="preserve">, after becoming aware of a personal data breach affecting Recipient Data, and will provide the information reasonably required for the Business to meet its own obligations under Articles 33 and 34 UK GDPR, including the nature of the breach, the categories and approximate numbers of data subjects and records concerned, the likely consequences, and the measures taken or proposed.</w:t>
      </w:r>
    </w:p>
    <w:p>
      <w:pPr>
        <w:tabs>
          <w:tab w:val="left" w:pos="850"/>
        </w:tabs>
        <w:spacing w:after="140" w:line="276"/>
        <w:ind w:left="850" w:hanging="850"/>
        <w:jc w:val="both"/>
      </w:pPr>
      <w:r>
        <w:rPr>
          <w:rFonts w:ascii="Calibri" w:cs="Calibri" w:eastAsia="Calibri" w:hAnsi="Calibri"/>
          <w:sz w:val="22"/>
          <w:szCs w:val="22"/>
        </w:rPr>
        <w:t xml:space="preserve">8.2</w:t>
        <w:tab/>
      </w:r>
      <w:r>
        <w:rPr>
          <w:rFonts w:ascii="Calibri" w:cs="Calibri" w:eastAsia="Calibri" w:hAnsi="Calibri"/>
          <w:sz w:val="22"/>
          <w:szCs w:val="22"/>
        </w:rPr>
        <w:t xml:space="preserve">Taking into account the nature of the processing and the information available to it, Drevo will assist the Business with its obligations under Articles 32 to 36 UK GDPR (security, breach notification, data protection impact assessments and prior consultation).</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9.	</w:t>
      </w:r>
      <w:r>
        <w:rPr>
          <w:rFonts w:ascii="Calibri" w:cs="Calibri" w:eastAsia="Calibri" w:hAnsi="Calibri"/>
          <w:b/>
          <w:bCs/>
          <w:color w:val="1F3864"/>
          <w:sz w:val="26"/>
          <w:szCs w:val="26"/>
        </w:rPr>
        <w:t xml:space="preserve">International Transfers</w:t>
      </w:r>
    </w:p>
    <w:p>
      <w:pPr>
        <w:tabs>
          <w:tab w:val="left" w:pos="850"/>
        </w:tabs>
        <w:spacing w:after="140" w:line="276"/>
        <w:ind w:left="850" w:hanging="850"/>
        <w:jc w:val="both"/>
      </w:pPr>
      <w:r>
        <w:rPr>
          <w:rFonts w:ascii="Calibri" w:cs="Calibri" w:eastAsia="Calibri" w:hAnsi="Calibri"/>
          <w:sz w:val="22"/>
          <w:szCs w:val="22"/>
        </w:rPr>
        <w:t xml:space="preserve">9.1</w:t>
        <w:tab/>
      </w:r>
      <w:r>
        <w:rPr>
          <w:rFonts w:ascii="Calibri" w:cs="Calibri" w:eastAsia="Calibri" w:hAnsi="Calibri"/>
          <w:sz w:val="22"/>
          <w:szCs w:val="22"/>
        </w:rPr>
        <w:t xml:space="preserve">Some Subprocessors process data in the United States. Drevo will not transfer Recipient Data outside the UK unless the transfer is covered by safeguards recognised under Article 46 UK GDPR — the UK International Data Transfer Agreement (IDTA), or the EU Standard Contractual Clauses together with the UK International Data Transfer Addendum — or another lawful transfer mechanism.</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10.	</w:t>
      </w:r>
      <w:r>
        <w:rPr>
          <w:rFonts w:ascii="Calibri" w:cs="Calibri" w:eastAsia="Calibri" w:hAnsi="Calibri"/>
          <w:b/>
          <w:bCs/>
          <w:color w:val="1F3864"/>
          <w:sz w:val="26"/>
          <w:szCs w:val="26"/>
        </w:rPr>
        <w:t xml:space="preserve">Audit</w:t>
      </w:r>
    </w:p>
    <w:p>
      <w:pPr>
        <w:tabs>
          <w:tab w:val="left" w:pos="850"/>
        </w:tabs>
        <w:spacing w:after="140" w:line="276"/>
        <w:ind w:left="850" w:hanging="850"/>
        <w:jc w:val="both"/>
      </w:pPr>
      <w:r>
        <w:rPr>
          <w:rFonts w:ascii="Calibri" w:cs="Calibri" w:eastAsia="Calibri" w:hAnsi="Calibri"/>
          <w:sz w:val="22"/>
          <w:szCs w:val="22"/>
        </w:rPr>
        <w:t xml:space="preserve">10.1</w:t>
        <w:tab/>
      </w:r>
      <w:r>
        <w:rPr>
          <w:rFonts w:ascii="Calibri" w:cs="Calibri" w:eastAsia="Calibri" w:hAnsi="Calibri"/>
          <w:sz w:val="22"/>
          <w:szCs w:val="22"/>
        </w:rPr>
        <w:t xml:space="preserve">No more than once in any 12-month period, and on at least 30 days’ written notice, the Business (or an independent auditor appointed by it that is not a competitor of Drevo) may audit Drevo’s compliance with this DPA. Audits must be conducted during normal business hours, must not unreasonably disrupt Drevo’s operations, and are subject to reasonable confidentiality obligations. Drevo may first satisfy an audit request by providing relevant documentation, certifications or third-party audit reports. The Business bears its own audit costs.</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11.	</w:t>
      </w:r>
      <w:r>
        <w:rPr>
          <w:rFonts w:ascii="Calibri" w:cs="Calibri" w:eastAsia="Calibri" w:hAnsi="Calibri"/>
          <w:b/>
          <w:bCs/>
          <w:color w:val="1F3864"/>
          <w:sz w:val="26"/>
          <w:szCs w:val="26"/>
        </w:rPr>
        <w:t xml:space="preserve">Deletion and Return</w:t>
      </w:r>
    </w:p>
    <w:p>
      <w:pPr>
        <w:tabs>
          <w:tab w:val="left" w:pos="850"/>
        </w:tabs>
        <w:spacing w:after="140" w:line="276"/>
        <w:ind w:left="850" w:hanging="850"/>
        <w:jc w:val="both"/>
      </w:pPr>
      <w:r>
        <w:rPr>
          <w:rFonts w:ascii="Calibri" w:cs="Calibri" w:eastAsia="Calibri" w:hAnsi="Calibri"/>
          <w:sz w:val="22"/>
          <w:szCs w:val="22"/>
        </w:rPr>
        <w:t xml:space="preserve">11.1</w:t>
        <w:tab/>
      </w:r>
      <w:r>
        <w:rPr>
          <w:rFonts w:ascii="Calibri" w:cs="Calibri" w:eastAsia="Calibri" w:hAnsi="Calibri"/>
          <w:sz w:val="22"/>
          <w:szCs w:val="22"/>
        </w:rPr>
        <w:t xml:space="preserve">On closure of the Business’s account, or on the Business’s earlier written request, Drevo will, at the Business’s choice, delete or return all Recipient Data within 30 days, and delete existing copies, except to the extent that the law of England and Wales requires continued storage (for example, order and financial records retained for HMRC purposes), in which case Drevo will continue to protect the data under this DPA and will not otherwise process it.</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12.	</w:t>
      </w:r>
      <w:r>
        <w:rPr>
          <w:rFonts w:ascii="Calibri" w:cs="Calibri" w:eastAsia="Calibri" w:hAnsi="Calibri"/>
          <w:b/>
          <w:bCs/>
          <w:color w:val="1F3864"/>
          <w:sz w:val="26"/>
          <w:szCs w:val="26"/>
        </w:rPr>
        <w:t xml:space="preserve">Liability</w:t>
      </w:r>
    </w:p>
    <w:p>
      <w:pPr>
        <w:tabs>
          <w:tab w:val="left" w:pos="850"/>
        </w:tabs>
        <w:spacing w:after="140" w:line="276"/>
        <w:ind w:left="850" w:hanging="850"/>
        <w:jc w:val="both"/>
      </w:pPr>
      <w:r>
        <w:rPr>
          <w:rFonts w:ascii="Calibri" w:cs="Calibri" w:eastAsia="Calibri" w:hAnsi="Calibri"/>
          <w:sz w:val="22"/>
          <w:szCs w:val="22"/>
        </w:rPr>
        <w:t xml:space="preserve">12.1</w:t>
        <w:tab/>
      </w:r>
      <w:r>
        <w:rPr>
          <w:rFonts w:ascii="Calibri" w:cs="Calibri" w:eastAsia="Calibri" w:hAnsi="Calibri"/>
          <w:sz w:val="22"/>
          <w:szCs w:val="22"/>
        </w:rPr>
        <w:t xml:space="preserve">The liability of each party under or in connection with this DPA is subject to the exclusions and limitations of liability in the Terms. Nothing in this clause limits either party’s liability to data subjects or supervisory authorities under Data Protection Law.</w:t>
      </w:r>
    </w:p>
    <w:p>
      <w:pPr>
        <w:pStyle w:val="Heading1"/>
        <w:keepNext/>
        <w:tabs>
          <w:tab w:val="left" w:pos="620"/>
        </w:tabs>
        <w:spacing w:after="170" w:before="340"/>
        <w:ind w:left="620" w:hanging="620"/>
      </w:pPr>
      <w:r>
        <w:rPr>
          <w:rFonts w:ascii="Calibri" w:cs="Calibri" w:eastAsia="Calibri" w:hAnsi="Calibri"/>
          <w:b/>
          <w:bCs/>
          <w:color w:val="1F3864"/>
          <w:sz w:val="26"/>
          <w:szCs w:val="26"/>
        </w:rPr>
        <w:t xml:space="preserve">13.	</w:t>
      </w:r>
      <w:r>
        <w:rPr>
          <w:rFonts w:ascii="Calibri" w:cs="Calibri" w:eastAsia="Calibri" w:hAnsi="Calibri"/>
          <w:b/>
          <w:bCs/>
          <w:color w:val="1F3864"/>
          <w:sz w:val="26"/>
          <w:szCs w:val="26"/>
        </w:rPr>
        <w:t xml:space="preserve">General and Governing Law</w:t>
      </w:r>
    </w:p>
    <w:p>
      <w:pPr>
        <w:tabs>
          <w:tab w:val="left" w:pos="850"/>
        </w:tabs>
        <w:spacing w:after="140" w:line="276"/>
        <w:ind w:left="850" w:hanging="850"/>
        <w:jc w:val="both"/>
      </w:pPr>
      <w:r>
        <w:rPr>
          <w:rFonts w:ascii="Calibri" w:cs="Calibri" w:eastAsia="Calibri" w:hAnsi="Calibri"/>
          <w:sz w:val="22"/>
          <w:szCs w:val="22"/>
        </w:rPr>
        <w:t xml:space="preserve">13.1</w:t>
        <w:tab/>
      </w:r>
      <w:r>
        <w:rPr>
          <w:rFonts w:ascii="Calibri" w:cs="Calibri" w:eastAsia="Calibri" w:hAnsi="Calibri"/>
          <w:sz w:val="22"/>
          <w:szCs w:val="22"/>
        </w:rPr>
        <w:t xml:space="preserve">If there is a conflict between this DPA and the Terms in relation to the processing of Recipient Data, this DPA prevails.</w:t>
      </w:r>
    </w:p>
    <w:p>
      <w:pPr>
        <w:tabs>
          <w:tab w:val="left" w:pos="850"/>
        </w:tabs>
        <w:spacing w:after="140" w:line="276"/>
        <w:ind w:left="850" w:hanging="850"/>
        <w:jc w:val="both"/>
      </w:pPr>
      <w:r>
        <w:rPr>
          <w:rFonts w:ascii="Calibri" w:cs="Calibri" w:eastAsia="Calibri" w:hAnsi="Calibri"/>
          <w:sz w:val="22"/>
          <w:szCs w:val="22"/>
        </w:rPr>
        <w:t xml:space="preserve">13.2</w:t>
        <w:tab/>
      </w:r>
      <w:r>
        <w:rPr>
          <w:rFonts w:ascii="Calibri" w:cs="Calibri" w:eastAsia="Calibri" w:hAnsi="Calibri"/>
          <w:sz w:val="22"/>
          <w:szCs w:val="22"/>
        </w:rPr>
        <w:t xml:space="preserve">This DPA and any dispute or claim arising out of or in connection with it (including non-contractual disputes or claims) are governed by the law of England and Wales, and the courts of England and Wales have exclusive jurisdiction.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center"/>
    </w:pPr>
    <w:r>
      <w:rPr>
        <w:rFonts w:ascii="Calibri" w:cs="Calibri" w:eastAsia="Calibri" w:hAnsi="Calibri"/>
        <w:color w:val="595959"/>
        <w:sz w:val="16"/>
        <w:szCs w:val="16"/>
      </w:rPr>
      <w:t xml:space="preserve">Drevo — Data Processing Agreement — v1.0 DRAFT    </w:t>
    </w:r>
    <w:r>
      <w:rPr>
        <w:rFonts w:ascii="Calibri" w:cs="Calibri" w:eastAsia="Calibri" w:hAnsi="Calibri"/>
        <w:color w:val="595959"/>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Agreement — Drevo</dc:title>
  <dc:creator>Drevo</dc:creator>
  <dc:description>Data Processing Agreement — Drevo — Version 1.0 DRAFT</dc:description>
  <cp:lastModifiedBy>Un-named</cp:lastModifiedBy>
  <cp:revision>1</cp:revision>
  <dcterms:created xsi:type="dcterms:W3CDTF">2026-07-13T22:32:23.450Z</dcterms:created>
  <dcterms:modified xsi:type="dcterms:W3CDTF">2026-07-13T22:32:23.451Z</dcterms:modified>
</cp:coreProperties>
</file>

<file path=docProps/custom.xml><?xml version="1.0" encoding="utf-8"?>
<Properties xmlns="http://schemas.openxmlformats.org/officeDocument/2006/custom-properties" xmlns:vt="http://schemas.openxmlformats.org/officeDocument/2006/docPropsVTypes"/>
</file>